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50"/>
        <w:tblBorders>
          <w:top w:val="none" w:color="FFFFFF" w:sz="0"/>
          <w:left w:val="none" w:color="FFFFFF" w:sz="0"/>
          <w:bottom w:val="none" w:color="FFFFFF" w:sz="0"/>
          <w:right w:val="none" w:color="FFFFFF" w:sz="0"/>
          <w:insideH w:val="none" w:color="FFFFFF" w:sz="0"/>
          <w:insideV w:val="none" w:color="FFFFFF" w:sz="0"/>
        </w:tblBorders>
      </w:tblPr>
      <w:tblGrid>
        <w:gridCol w:w="2400"/>
        <w:gridCol w:w="6950"/>
      </w:tblGrid>
      <w:tr>
        <w:tc>
          <w:tcPr>
            <w:tcW w:type="dxa" w:w="2400"/>
            <w:vAlign w:val="center"/>
          </w:tcPr>
          <w:p>
            <w:pPr>
              <w:jc w:val="center"/>
            </w:pPr>
            <w:r>
              <w:drawing>
                <wp:inline distT="0" distB="0" distL="0" distR="0">
                  <wp:extent cx="1000125" cy="1000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000125" cy="1000125"/>
                          </a:xfrm>
                          <a:prstGeom prst="rect">
                            <a:avLst/>
                          </a:prstGeom>
                        </pic:spPr>
                      </pic:pic>
                    </a:graphicData>
                  </a:graphic>
                </wp:inline>
              </w:drawing>
            </w:r>
          </w:p>
        </w:tc>
        <w:tc>
          <w:tcPr>
            <w:tcW w:type="dxa" w:w="6950"/>
            <w:vAlign w:val="center"/>
          </w:tcPr>
          <w:p>
            <w:pPr>
              <w:spacing w:after="40"/>
            </w:pPr>
            <w:r>
              <w:rPr>
                <w:rFonts w:ascii="Georgia" w:cs="Georgia" w:eastAsia="Georgia" w:hAnsi="Georgia"/>
                <w:b/>
                <w:bCs/>
                <w:color w:val="2B3A55"/>
                <w:sz w:val="40"/>
                <w:szCs w:val="40"/>
              </w:rPr>
              <w:t xml:space="preserve">AHMED ASSEN MUHIE</w:t>
            </w:r>
          </w:p>
          <w:p>
            <w:pPr>
              <w:spacing w:after="0"/>
            </w:pPr>
            <w:r>
              <w:rPr>
                <w:rFonts w:ascii="Calibri" w:cs="Calibri" w:eastAsia="Calibri" w:hAnsi="Calibri"/>
                <w:b/>
                <w:bCs/>
                <w:color w:val="B08D57"/>
                <w:spacing w:val="20"/>
                <w:sz w:val="20"/>
                <w:szCs w:val="20"/>
              </w:rPr>
              <w:t xml:space="preserve">PROFESSIONAL PORTFOLIO</w:t>
            </w:r>
          </w:p>
        </w:tc>
      </w:tr>
    </w:tbl>
    <w:p>
      <w:pPr>
        <w:pBdr>
          <w:bottom w:val="single" w:color="B08D57" w:sz="12" w:space="4"/>
        </w:pBdr>
        <w:spacing w:after="200"/>
      </w:pPr>
    </w:p>
    <w:p>
      <w:pPr>
        <w:pStyle w:val="Heading1"/>
        <w:pBdr>
          <w:bottom w:val="single" w:color="B08D57" w:sz="8" w:space="4"/>
        </w:pBdr>
        <w:spacing w:after="160" w:before="360"/>
      </w:pPr>
      <w:r>
        <w:rPr>
          <w:rFonts w:ascii="Georgia" w:cs="Georgia" w:eastAsia="Georgia" w:hAnsi="Georgia"/>
          <w:b/>
          <w:bCs/>
          <w:color w:val="2B3A55"/>
          <w:sz w:val="26"/>
          <w:szCs w:val="26"/>
        </w:rPr>
        <w:t xml:space="preserve">ABOUT</w:t>
      </w:r>
    </w:p>
    <w:p>
      <w:pPr>
        <w:spacing w:after="160" w:line="300"/>
      </w:pPr>
      <w:r>
        <w:rPr>
          <w:rFonts w:ascii="Calibri" w:cs="Calibri" w:eastAsia="Calibri" w:hAnsi="Calibri"/>
          <w:color w:val="3D3D3D"/>
          <w:sz w:val="21"/>
          <w:szCs w:val="21"/>
        </w:rPr>
        <w:t xml:space="preserve">Ahmed Assen Muhie is a dynamic and accomplished professional holding an M.A. in Teaching English as a Foreign Language (TEFL), with extensive expertise across education, public administration, and business development. As Deputy Director of Energy and Infrastructure of the Global Chamber on African Trade, Rights and Economic Development (GCATRED), he plays a pivotal role in championing sustainable trade, investment, and economic cooperation throughout Africa, delivering tangible results that drive continental progress.</w:t>
      </w:r>
    </w:p>
    <w:p>
      <w:pPr>
        <w:spacing w:after="160" w:line="300"/>
      </w:pPr>
      <w:r>
        <w:rPr>
          <w:rFonts w:ascii="Calibri" w:cs="Calibri" w:eastAsia="Calibri" w:hAnsi="Calibri"/>
          <w:color w:val="3D3D3D"/>
          <w:sz w:val="21"/>
          <w:szCs w:val="21"/>
        </w:rPr>
        <w:t xml:space="preserve">Having a proven track record in strategic planning, stakeholder engagement, and institutional collaboration, Ahmed has forged strong partnerships with government entities, chambers of commerce, and private sector leaders to fortify business ecosystems and foster inclusive growth. His global perspective, honed through active participation in prestigious international forums and conferences in nations including Turkey, Indonesia, Dubai, Saudi Arabia, and South Africa, underscores his unwavering dedication to sustainable development and forging enduring global alliances.</w:t>
      </w:r>
    </w:p>
    <w:p>
      <w:pPr>
        <w:spacing w:after="160" w:line="300"/>
      </w:pPr>
      <w:r>
        <w:rPr>
          <w:rFonts w:ascii="Calibri" w:cs="Calibri" w:eastAsia="Calibri" w:hAnsi="Calibri"/>
          <w:color w:val="3D3D3D"/>
          <w:sz w:val="21"/>
          <w:szCs w:val="21"/>
        </w:rPr>
        <w:t xml:space="preserve">Deeply passionate about lifelong learning and innovation, Ahmed is resolute in spearheading economic transformation, capacity building, and community empowerment via visionary leadership and strategic collaborations. Born on April 11, 1973 and raised in Wollo, Legehida, Wushat, Ethiopia, he is a devoted family man, father to two daughters and a son, who seamlessly integrates personal values with professional excellence to inspire positive change.</w:t>
      </w:r>
    </w:p>
    <w:p>
      <w:pPr>
        <w:pStyle w:val="Heading1"/>
        <w:pBdr>
          <w:bottom w:val="single" w:color="B08D57" w:sz="8" w:space="4"/>
        </w:pBdr>
        <w:spacing w:after="160" w:before="360"/>
      </w:pPr>
      <w:r>
        <w:rPr>
          <w:rFonts w:ascii="Georgia" w:cs="Georgia" w:eastAsia="Georgia" w:hAnsi="Georgia"/>
          <w:b/>
          <w:bCs/>
          <w:color w:val="2B3A55"/>
          <w:sz w:val="26"/>
          <w:szCs w:val="26"/>
        </w:rPr>
        <w:t xml:space="preserve">FACTS</w:t>
      </w:r>
    </w:p>
    <w:tbl>
      <w:tblPr>
        <w:tblW w:type="dxa" w:w="8800"/>
        <w:tblBorders>
          <w:top w:val="single" w:color="auto" w:sz="4"/>
          <w:left w:val="single" w:color="auto" w:sz="4"/>
          <w:bottom w:val="single" w:color="auto" w:sz="4"/>
          <w:right w:val="single" w:color="auto" w:sz="4"/>
          <w:insideH w:val="single" w:color="auto" w:sz="4"/>
          <w:insideV w:val="single" w:color="auto" w:sz="4"/>
        </w:tblBorders>
      </w:tblPr>
      <w:tblGrid>
        <w:gridCol w:w="2600"/>
        <w:gridCol w:w="6200"/>
      </w:tblGrid>
      <w:tr>
        <w:tc>
          <w:tcPr>
            <w:tcW w:type="dxa" w:w="2600"/>
            <w:shd w:fill="F2EFE9" w:val="clear"/>
            <w:tcMar>
              <w:top w:type="dxa" w:w="80"/>
              <w:left w:type="dxa" w:w="120"/>
              <w:bottom w:type="dxa" w:w="80"/>
              <w:right w:type="dxa" w:w="120"/>
            </w:tcMar>
          </w:tcPr>
          <w:p>
            <w:r>
              <w:rPr>
                <w:rFonts w:ascii="Calibri" w:cs="Calibri" w:eastAsia="Calibri" w:hAnsi="Calibri"/>
                <w:b/>
                <w:bCs/>
                <w:color w:val="2B3A55"/>
                <w:sz w:val="19"/>
                <w:szCs w:val="19"/>
              </w:rPr>
              <w:t xml:space="preserve">Birthday</w:t>
            </w:r>
          </w:p>
        </w:tc>
        <w:tc>
          <w:tcPr>
            <w:tcW w:type="dxa" w:w="6200"/>
            <w:tcMar>
              <w:top w:type="dxa" w:w="80"/>
              <w:left w:type="dxa" w:w="120"/>
              <w:bottom w:type="dxa" w:w="80"/>
              <w:right w:type="dxa" w:w="120"/>
            </w:tcMar>
          </w:tcPr>
          <w:p>
            <w:r>
              <w:rPr>
                <w:rFonts w:ascii="Calibri" w:cs="Calibri" w:eastAsia="Calibri" w:hAnsi="Calibri"/>
                <w:color w:val="3D3D3D"/>
                <w:sz w:val="19"/>
                <w:szCs w:val="19"/>
              </w:rPr>
              <w:t xml:space="preserve">April 11, 1973</w:t>
            </w:r>
          </w:p>
        </w:tc>
      </w:tr>
      <w:tr>
        <w:tc>
          <w:tcPr>
            <w:tcW w:type="dxa" w:w="2600"/>
            <w:shd w:fill="F2EFE9" w:val="clear"/>
            <w:tcMar>
              <w:top w:type="dxa" w:w="80"/>
              <w:left w:type="dxa" w:w="120"/>
              <w:bottom w:type="dxa" w:w="80"/>
              <w:right w:type="dxa" w:w="120"/>
            </w:tcMar>
          </w:tcPr>
          <w:p>
            <w:r>
              <w:rPr>
                <w:rFonts w:ascii="Calibri" w:cs="Calibri" w:eastAsia="Calibri" w:hAnsi="Calibri"/>
                <w:b/>
                <w:bCs/>
                <w:color w:val="2B3A55"/>
                <w:sz w:val="19"/>
                <w:szCs w:val="19"/>
              </w:rPr>
              <w:t xml:space="preserve">Age</w:t>
            </w:r>
          </w:p>
        </w:tc>
        <w:tc>
          <w:tcPr>
            <w:tcW w:type="dxa" w:w="6200"/>
            <w:tcMar>
              <w:top w:type="dxa" w:w="80"/>
              <w:left w:type="dxa" w:w="120"/>
              <w:bottom w:type="dxa" w:w="80"/>
              <w:right w:type="dxa" w:w="120"/>
            </w:tcMar>
          </w:tcPr>
          <w:p>
            <w:r>
              <w:rPr>
                <w:rFonts w:ascii="Calibri" w:cs="Calibri" w:eastAsia="Calibri" w:hAnsi="Calibri"/>
                <w:color w:val="3D3D3D"/>
                <w:sz w:val="19"/>
                <w:szCs w:val="19"/>
              </w:rPr>
              <w:t xml:space="preserve">53</w:t>
            </w:r>
          </w:p>
        </w:tc>
      </w:tr>
      <w:tr>
        <w:tc>
          <w:tcPr>
            <w:tcW w:type="dxa" w:w="2600"/>
            <w:shd w:fill="F2EFE9" w:val="clear"/>
            <w:tcMar>
              <w:top w:type="dxa" w:w="80"/>
              <w:left w:type="dxa" w:w="120"/>
              <w:bottom w:type="dxa" w:w="80"/>
              <w:right w:type="dxa" w:w="120"/>
            </w:tcMar>
          </w:tcPr>
          <w:p>
            <w:r>
              <w:rPr>
                <w:rFonts w:ascii="Calibri" w:cs="Calibri" w:eastAsia="Calibri" w:hAnsi="Calibri"/>
                <w:b/>
                <w:bCs/>
                <w:color w:val="2B3A55"/>
                <w:sz w:val="19"/>
                <w:szCs w:val="19"/>
              </w:rPr>
              <w:t xml:space="preserve">Website</w:t>
            </w:r>
          </w:p>
        </w:tc>
        <w:tc>
          <w:tcPr>
            <w:tcW w:type="dxa" w:w="6200"/>
            <w:tcMar>
              <w:top w:type="dxa" w:w="80"/>
              <w:left w:type="dxa" w:w="120"/>
              <w:bottom w:type="dxa" w:w="80"/>
              <w:right w:type="dxa" w:w="120"/>
            </w:tcMar>
          </w:tcPr>
          <w:p>
            <w:r>
              <w:rPr>
                <w:rFonts w:ascii="Calibri" w:cs="Calibri" w:eastAsia="Calibri" w:hAnsi="Calibri"/>
                <w:color w:val="3D3D3D"/>
                <w:sz w:val="19"/>
                <w:szCs w:val="19"/>
              </w:rPr>
              <w:t xml:space="preserve">profile.ahmedassen.com</w:t>
            </w:r>
          </w:p>
        </w:tc>
      </w:tr>
      <w:tr>
        <w:tc>
          <w:tcPr>
            <w:tcW w:type="dxa" w:w="2600"/>
            <w:shd w:fill="F2EFE9" w:val="clear"/>
            <w:tcMar>
              <w:top w:type="dxa" w:w="80"/>
              <w:left w:type="dxa" w:w="120"/>
              <w:bottom w:type="dxa" w:w="80"/>
              <w:right w:type="dxa" w:w="120"/>
            </w:tcMar>
          </w:tcPr>
          <w:p>
            <w:r>
              <w:rPr>
                <w:rFonts w:ascii="Calibri" w:cs="Calibri" w:eastAsia="Calibri" w:hAnsi="Calibri"/>
                <w:b/>
                <w:bCs/>
                <w:color w:val="2B3A55"/>
                <w:sz w:val="19"/>
                <w:szCs w:val="19"/>
              </w:rPr>
              <w:t xml:space="preserve">Phone</w:t>
            </w:r>
          </w:p>
        </w:tc>
        <w:tc>
          <w:tcPr>
            <w:tcW w:type="dxa" w:w="6200"/>
            <w:tcMar>
              <w:top w:type="dxa" w:w="80"/>
              <w:left w:type="dxa" w:w="120"/>
              <w:bottom w:type="dxa" w:w="80"/>
              <w:right w:type="dxa" w:w="120"/>
            </w:tcMar>
          </w:tcPr>
          <w:p>
            <w:r>
              <w:rPr>
                <w:rFonts w:ascii="Calibri" w:cs="Calibri" w:eastAsia="Calibri" w:hAnsi="Calibri"/>
                <w:color w:val="3D3D3D"/>
                <w:sz w:val="19"/>
                <w:szCs w:val="19"/>
              </w:rPr>
              <w:t xml:space="preserve">+251 91 435 5095</w:t>
            </w:r>
          </w:p>
        </w:tc>
      </w:tr>
      <w:tr>
        <w:tc>
          <w:tcPr>
            <w:tcW w:type="dxa" w:w="2600"/>
            <w:shd w:fill="F2EFE9" w:val="clear"/>
            <w:tcMar>
              <w:top w:type="dxa" w:w="80"/>
              <w:left w:type="dxa" w:w="120"/>
              <w:bottom w:type="dxa" w:w="80"/>
              <w:right w:type="dxa" w:w="120"/>
            </w:tcMar>
          </w:tcPr>
          <w:p>
            <w:r>
              <w:rPr>
                <w:rFonts w:ascii="Calibri" w:cs="Calibri" w:eastAsia="Calibri" w:hAnsi="Calibri"/>
                <w:b/>
                <w:bCs/>
                <w:color w:val="2B3A55"/>
                <w:sz w:val="19"/>
                <w:szCs w:val="19"/>
              </w:rPr>
              <w:t xml:space="preserve">Email</w:t>
            </w:r>
          </w:p>
        </w:tc>
        <w:tc>
          <w:tcPr>
            <w:tcW w:type="dxa" w:w="6200"/>
            <w:tcMar>
              <w:top w:type="dxa" w:w="80"/>
              <w:left w:type="dxa" w:w="120"/>
              <w:bottom w:type="dxa" w:w="80"/>
              <w:right w:type="dxa" w:w="120"/>
            </w:tcMar>
          </w:tcPr>
          <w:p>
            <w:r>
              <w:rPr>
                <w:rFonts w:ascii="Calibri" w:cs="Calibri" w:eastAsia="Calibri" w:hAnsi="Calibri"/>
                <w:color w:val="3D3D3D"/>
                <w:sz w:val="19"/>
                <w:szCs w:val="19"/>
              </w:rPr>
              <w:t xml:space="preserve">abekri99@gmail.com</w:t>
            </w:r>
          </w:p>
        </w:tc>
      </w:tr>
      <w:tr>
        <w:tc>
          <w:tcPr>
            <w:tcW w:type="dxa" w:w="2600"/>
            <w:shd w:fill="F2EFE9" w:val="clear"/>
            <w:tcMar>
              <w:top w:type="dxa" w:w="80"/>
              <w:left w:type="dxa" w:w="120"/>
              <w:bottom w:type="dxa" w:w="80"/>
              <w:right w:type="dxa" w:w="120"/>
            </w:tcMar>
          </w:tcPr>
          <w:p>
            <w:r>
              <w:rPr>
                <w:rFonts w:ascii="Calibri" w:cs="Calibri" w:eastAsia="Calibri" w:hAnsi="Calibri"/>
                <w:b/>
                <w:bCs/>
                <w:color w:val="2B3A55"/>
                <w:sz w:val="19"/>
                <w:szCs w:val="19"/>
              </w:rPr>
              <w:t xml:space="preserve">City / Location</w:t>
            </w:r>
          </w:p>
        </w:tc>
        <w:tc>
          <w:tcPr>
            <w:tcW w:type="dxa" w:w="6200"/>
            <w:tcMar>
              <w:top w:type="dxa" w:w="80"/>
              <w:left w:type="dxa" w:w="120"/>
              <w:bottom w:type="dxa" w:w="80"/>
              <w:right w:type="dxa" w:w="120"/>
            </w:tcMar>
          </w:tcPr>
          <w:p>
            <w:r>
              <w:rPr>
                <w:rFonts w:ascii="Calibri" w:cs="Calibri" w:eastAsia="Calibri" w:hAnsi="Calibri"/>
                <w:color w:val="3D3D3D"/>
                <w:sz w:val="19"/>
                <w:szCs w:val="19"/>
              </w:rPr>
              <w:t xml:space="preserve">Addis Ababa, Ethiopia</w:t>
            </w:r>
          </w:p>
        </w:tc>
      </w:tr>
      <w:tr>
        <w:tc>
          <w:tcPr>
            <w:tcW w:type="dxa" w:w="2600"/>
            <w:shd w:fill="F2EFE9" w:val="clear"/>
            <w:tcMar>
              <w:top w:type="dxa" w:w="80"/>
              <w:left w:type="dxa" w:w="120"/>
              <w:bottom w:type="dxa" w:w="80"/>
              <w:right w:type="dxa" w:w="120"/>
            </w:tcMar>
          </w:tcPr>
          <w:p>
            <w:r>
              <w:rPr>
                <w:rFonts w:ascii="Calibri" w:cs="Calibri" w:eastAsia="Calibri" w:hAnsi="Calibri"/>
                <w:b/>
                <w:bCs/>
                <w:color w:val="2B3A55"/>
                <w:sz w:val="19"/>
                <w:szCs w:val="19"/>
              </w:rPr>
              <w:t xml:space="preserve">Education</w:t>
            </w:r>
          </w:p>
        </w:tc>
        <w:tc>
          <w:tcPr>
            <w:tcW w:type="dxa" w:w="6200"/>
            <w:tcMar>
              <w:top w:type="dxa" w:w="80"/>
              <w:left w:type="dxa" w:w="120"/>
              <w:bottom w:type="dxa" w:w="80"/>
              <w:right w:type="dxa" w:w="120"/>
            </w:tcMar>
          </w:tcPr>
          <w:p>
            <w:r>
              <w:rPr>
                <w:rFonts w:ascii="Calibri" w:cs="Calibri" w:eastAsia="Calibri" w:hAnsi="Calibri"/>
                <w:color w:val="3D3D3D"/>
                <w:sz w:val="19"/>
                <w:szCs w:val="19"/>
              </w:rPr>
              <w:t xml:space="preserve">M.A. in Teaching English as a Foreign Language (TEFL)</w:t>
            </w:r>
          </w:p>
        </w:tc>
      </w:tr>
      <w:tr>
        <w:tc>
          <w:tcPr>
            <w:tcW w:type="dxa" w:w="2600"/>
            <w:shd w:fill="F2EFE9" w:val="clear"/>
            <w:tcMar>
              <w:top w:type="dxa" w:w="80"/>
              <w:left w:type="dxa" w:w="120"/>
              <w:bottom w:type="dxa" w:w="80"/>
              <w:right w:type="dxa" w:w="120"/>
            </w:tcMar>
          </w:tcPr>
          <w:p>
            <w:r>
              <w:rPr>
                <w:rFonts w:ascii="Calibri" w:cs="Calibri" w:eastAsia="Calibri" w:hAnsi="Calibri"/>
                <w:b/>
                <w:bCs/>
                <w:color w:val="2B3A55"/>
                <w:sz w:val="19"/>
                <w:szCs w:val="19"/>
              </w:rPr>
              <w:t xml:space="preserve">Consultancy</w:t>
            </w:r>
          </w:p>
        </w:tc>
        <w:tc>
          <w:tcPr>
            <w:tcW w:type="dxa" w:w="6200"/>
            <w:tcMar>
              <w:top w:type="dxa" w:w="80"/>
              <w:left w:type="dxa" w:w="120"/>
              <w:bottom w:type="dxa" w:w="80"/>
              <w:right w:type="dxa" w:w="120"/>
            </w:tcMar>
          </w:tcPr>
          <w:p>
            <w:r>
              <w:rPr>
                <w:rFonts w:ascii="Calibri" w:cs="Calibri" w:eastAsia="Calibri" w:hAnsi="Calibri"/>
                <w:color w:val="3D3D3D"/>
                <w:sz w:val="19"/>
                <w:szCs w:val="19"/>
              </w:rPr>
              <w:t xml:space="preserve">Available through professional roles in business development, public relations, and economic advisory</w:t>
            </w:r>
          </w:p>
        </w:tc>
      </w:tr>
    </w:tbl>
    <w:p>
      <w:pPr>
        <w:pStyle w:val="Heading1"/>
        <w:pBdr>
          <w:bottom w:val="single" w:color="B08D57" w:sz="8" w:space="4"/>
        </w:pBdr>
        <w:spacing w:after="160" w:before="360"/>
      </w:pPr>
      <w:r>
        <w:rPr>
          <w:rFonts w:ascii="Georgia" w:cs="Georgia" w:eastAsia="Georgia" w:hAnsi="Georgia"/>
          <w:b/>
          <w:bCs/>
          <w:color w:val="2B3A55"/>
          <w:sz w:val="26"/>
          <w:szCs w:val="26"/>
        </w:rPr>
        <w:t xml:space="preserve">SKILLS</w:t>
      </w:r>
    </w:p>
    <w:p>
      <w:pPr>
        <w:spacing w:after="40" w:before="160"/>
      </w:pPr>
      <w:r>
        <w:rPr>
          <w:rFonts w:ascii="Calibri" w:cs="Calibri" w:eastAsia="Calibri" w:hAnsi="Calibri"/>
          <w:b/>
          <w:bCs/>
          <w:color w:val="2B3A55"/>
          <w:sz w:val="20"/>
          <w:szCs w:val="20"/>
        </w:rPr>
        <w:t xml:space="preserve">Business Promotion &amp; Investment Attraction   </w:t>
      </w:r>
      <w:r>
        <w:rPr>
          <w:rFonts w:ascii="Calibri" w:cs="Calibri" w:eastAsia="Calibri" w:hAnsi="Calibri"/>
          <w:b/>
          <w:bCs/>
          <w:color w:val="B08D57"/>
          <w:sz w:val="18"/>
          <w:szCs w:val="18"/>
        </w:rPr>
        <w:t xml:space="preserve">100%</w:t>
      </w:r>
    </w:p>
    <w:tbl>
      <w:tblPr>
        <w:tblW w:type="dxa" w:w="8800"/>
        <w:tblBorders>
          <w:top w:val="none" w:color="FFFFFF" w:sz="0"/>
          <w:left w:val="none" w:color="FFFFFF" w:sz="0"/>
          <w:bottom w:val="none" w:color="FFFFFF" w:sz="0"/>
          <w:right w:val="none" w:color="FFFFFF" w:sz="0"/>
          <w:insideH w:val="none" w:color="FFFFFF" w:sz="0"/>
          <w:insideV w:val="none" w:color="FFFFFF" w:sz="0"/>
        </w:tblBorders>
      </w:tblPr>
      <w:tblGrid>
        <w:gridCol w:w="8800"/>
        <w:gridCol w:w="110"/>
      </w:tblGrid>
      <w:tr>
        <w:tc>
          <w:tcPr>
            <w:tcW w:type="dxa" w:w="8800"/>
            <w:shd w:fill="B08D57" w:val="clear"/>
            <w:tcMar>
              <w:top w:type="dxa" w:w="20"/>
              <w:left w:type="dxa" w:w="0"/>
              <w:bottom w:type="dxa" w:w="20"/>
              <w:right w:type="dxa" w:w="0"/>
            </w:tcMar>
          </w:tcPr>
          <w:p/>
        </w:tc>
        <w:tc>
          <w:tcPr>
            <w:tcW w:type="dxa" w:w="110"/>
            <w:shd w:fill="E4DFD3" w:val="clear"/>
            <w:tcMar>
              <w:top w:type="dxa" w:w="20"/>
              <w:left w:type="dxa" w:w="0"/>
              <w:bottom w:type="dxa" w:w="20"/>
              <w:right w:type="dxa" w:w="0"/>
            </w:tcMar>
          </w:tcPr>
          <w:p/>
        </w:tc>
      </w:tr>
    </w:tbl>
    <w:p>
      <w:pPr>
        <w:spacing w:after="160" w:line="300"/>
      </w:pPr>
      <w:r>
        <w:rPr>
          <w:rFonts w:ascii="Calibri" w:cs="Calibri" w:eastAsia="Calibri" w:hAnsi="Calibri"/>
          <w:i/>
          <w:iCs/>
          <w:color w:val="6E6E6E"/>
          <w:sz w:val="18"/>
          <w:szCs w:val="18"/>
        </w:rPr>
        <w:t xml:space="preserve">Expert in identifying and capitalizing on opportunities to drive investment inflows.</w:t>
      </w:r>
    </w:p>
    <w:p>
      <w:pPr>
        <w:spacing w:after="40" w:before="160"/>
      </w:pPr>
      <w:r>
        <w:rPr>
          <w:rFonts w:ascii="Calibri" w:cs="Calibri" w:eastAsia="Calibri" w:hAnsi="Calibri"/>
          <w:b/>
          <w:bCs/>
          <w:color w:val="2B3A55"/>
          <w:sz w:val="20"/>
          <w:szCs w:val="20"/>
        </w:rPr>
        <w:t xml:space="preserve">Public Relations &amp; Marketing   </w:t>
      </w:r>
      <w:r>
        <w:rPr>
          <w:rFonts w:ascii="Calibri" w:cs="Calibri" w:eastAsia="Calibri" w:hAnsi="Calibri"/>
          <w:b/>
          <w:bCs/>
          <w:color w:val="B08D57"/>
          <w:sz w:val="18"/>
          <w:szCs w:val="18"/>
        </w:rPr>
        <w:t xml:space="preserve">100%</w:t>
      </w:r>
    </w:p>
    <w:tbl>
      <w:tblPr>
        <w:tblW w:type="dxa" w:w="8800"/>
        <w:tblBorders>
          <w:top w:val="none" w:color="FFFFFF" w:sz="0"/>
          <w:left w:val="none" w:color="FFFFFF" w:sz="0"/>
          <w:bottom w:val="none" w:color="FFFFFF" w:sz="0"/>
          <w:right w:val="none" w:color="FFFFFF" w:sz="0"/>
          <w:insideH w:val="none" w:color="FFFFFF" w:sz="0"/>
          <w:insideV w:val="none" w:color="FFFFFF" w:sz="0"/>
        </w:tblBorders>
      </w:tblPr>
      <w:tblGrid>
        <w:gridCol w:w="8800"/>
        <w:gridCol w:w="110"/>
      </w:tblGrid>
      <w:tr>
        <w:tc>
          <w:tcPr>
            <w:tcW w:type="dxa" w:w="8800"/>
            <w:shd w:fill="B08D57" w:val="clear"/>
            <w:tcMar>
              <w:top w:type="dxa" w:w="20"/>
              <w:left w:type="dxa" w:w="0"/>
              <w:bottom w:type="dxa" w:w="20"/>
              <w:right w:type="dxa" w:w="0"/>
            </w:tcMar>
          </w:tcPr>
          <w:p/>
        </w:tc>
        <w:tc>
          <w:tcPr>
            <w:tcW w:type="dxa" w:w="110"/>
            <w:shd w:fill="E4DFD3" w:val="clear"/>
            <w:tcMar>
              <w:top w:type="dxa" w:w="20"/>
              <w:left w:type="dxa" w:w="0"/>
              <w:bottom w:type="dxa" w:w="20"/>
              <w:right w:type="dxa" w:w="0"/>
            </w:tcMar>
          </w:tcPr>
          <w:p/>
        </w:tc>
      </w:tr>
    </w:tbl>
    <w:p>
      <w:pPr>
        <w:spacing w:after="160" w:line="300"/>
      </w:pPr>
      <w:r>
        <w:rPr>
          <w:rFonts w:ascii="Calibri" w:cs="Calibri" w:eastAsia="Calibri" w:hAnsi="Calibri"/>
          <w:i/>
          <w:iCs/>
          <w:color w:val="6E6E6E"/>
          <w:sz w:val="18"/>
          <w:szCs w:val="18"/>
        </w:rPr>
        <w:t xml:space="preserve">Skilled in crafting compelling narratives that enhance brand reputation and stakeholder trust.</w:t>
      </w:r>
    </w:p>
    <w:p>
      <w:pPr>
        <w:spacing w:after="40" w:before="160"/>
      </w:pPr>
      <w:r>
        <w:rPr>
          <w:rFonts w:ascii="Calibri" w:cs="Calibri" w:eastAsia="Calibri" w:hAnsi="Calibri"/>
          <w:b/>
          <w:bCs/>
          <w:color w:val="2B3A55"/>
          <w:sz w:val="20"/>
          <w:szCs w:val="20"/>
        </w:rPr>
        <w:t xml:space="preserve">Strategic Leadership &amp; Operations Management   </w:t>
      </w:r>
      <w:r>
        <w:rPr>
          <w:rFonts w:ascii="Calibri" w:cs="Calibri" w:eastAsia="Calibri" w:hAnsi="Calibri"/>
          <w:b/>
          <w:bCs/>
          <w:color w:val="B08D57"/>
          <w:sz w:val="18"/>
          <w:szCs w:val="18"/>
        </w:rPr>
        <w:t xml:space="preserve">100%</w:t>
      </w:r>
    </w:p>
    <w:tbl>
      <w:tblPr>
        <w:tblW w:type="dxa" w:w="8800"/>
        <w:tblBorders>
          <w:top w:val="none" w:color="FFFFFF" w:sz="0"/>
          <w:left w:val="none" w:color="FFFFFF" w:sz="0"/>
          <w:bottom w:val="none" w:color="FFFFFF" w:sz="0"/>
          <w:right w:val="none" w:color="FFFFFF" w:sz="0"/>
          <w:insideH w:val="none" w:color="FFFFFF" w:sz="0"/>
          <w:insideV w:val="none" w:color="FFFFFF" w:sz="0"/>
        </w:tblBorders>
      </w:tblPr>
      <w:tblGrid>
        <w:gridCol w:w="8800"/>
        <w:gridCol w:w="110"/>
      </w:tblGrid>
      <w:tr>
        <w:tc>
          <w:tcPr>
            <w:tcW w:type="dxa" w:w="8800"/>
            <w:shd w:fill="B08D57" w:val="clear"/>
            <w:tcMar>
              <w:top w:type="dxa" w:w="20"/>
              <w:left w:type="dxa" w:w="0"/>
              <w:bottom w:type="dxa" w:w="20"/>
              <w:right w:type="dxa" w:w="0"/>
            </w:tcMar>
          </w:tcPr>
          <w:p/>
        </w:tc>
        <w:tc>
          <w:tcPr>
            <w:tcW w:type="dxa" w:w="110"/>
            <w:shd w:fill="E4DFD3" w:val="clear"/>
            <w:tcMar>
              <w:top w:type="dxa" w:w="20"/>
              <w:left w:type="dxa" w:w="0"/>
              <w:bottom w:type="dxa" w:w="20"/>
              <w:right w:type="dxa" w:w="0"/>
            </w:tcMar>
          </w:tcPr>
          <w:p/>
        </w:tc>
      </w:tr>
    </w:tbl>
    <w:p>
      <w:pPr>
        <w:spacing w:after="160" w:line="300"/>
      </w:pPr>
      <w:r>
        <w:rPr>
          <w:rFonts w:ascii="Calibri" w:cs="Calibri" w:eastAsia="Calibri" w:hAnsi="Calibri"/>
          <w:i/>
          <w:iCs/>
          <w:color w:val="6E6E6E"/>
          <w:sz w:val="18"/>
          <w:szCs w:val="18"/>
        </w:rPr>
        <w:t xml:space="preserve">Proven ability to lead teams and optimize operations for maximum efficiency and impact.</w:t>
      </w:r>
    </w:p>
    <w:p>
      <w:pPr>
        <w:spacing w:after="40" w:before="160"/>
      </w:pPr>
      <w:r>
        <w:rPr>
          <w:rFonts w:ascii="Calibri" w:cs="Calibri" w:eastAsia="Calibri" w:hAnsi="Calibri"/>
          <w:b/>
          <w:bCs/>
          <w:color w:val="2B3A55"/>
          <w:sz w:val="20"/>
          <w:szCs w:val="20"/>
        </w:rPr>
        <w:t xml:space="preserve">Economic Development &amp; Tourism Promotion   </w:t>
      </w:r>
      <w:r>
        <w:rPr>
          <w:rFonts w:ascii="Calibri" w:cs="Calibri" w:eastAsia="Calibri" w:hAnsi="Calibri"/>
          <w:b/>
          <w:bCs/>
          <w:color w:val="B08D57"/>
          <w:sz w:val="18"/>
          <w:szCs w:val="18"/>
        </w:rPr>
        <w:t xml:space="preserve">95%</w:t>
      </w:r>
    </w:p>
    <w:tbl>
      <w:tblPr>
        <w:tblW w:type="dxa" w:w="8800"/>
        <w:tblBorders>
          <w:top w:val="none" w:color="FFFFFF" w:sz="0"/>
          <w:left w:val="none" w:color="FFFFFF" w:sz="0"/>
          <w:bottom w:val="none" w:color="FFFFFF" w:sz="0"/>
          <w:right w:val="none" w:color="FFFFFF" w:sz="0"/>
          <w:insideH w:val="none" w:color="FFFFFF" w:sz="0"/>
          <w:insideV w:val="none" w:color="FFFFFF" w:sz="0"/>
        </w:tblBorders>
      </w:tblPr>
      <w:tblGrid>
        <w:gridCol w:w="8360"/>
        <w:gridCol w:w="440"/>
      </w:tblGrid>
      <w:tr>
        <w:tc>
          <w:tcPr>
            <w:tcW w:type="dxa" w:w="8360"/>
            <w:shd w:fill="B08D57" w:val="clear"/>
            <w:tcMar>
              <w:top w:type="dxa" w:w="20"/>
              <w:left w:type="dxa" w:w="0"/>
              <w:bottom w:type="dxa" w:w="20"/>
              <w:right w:type="dxa" w:w="0"/>
            </w:tcMar>
          </w:tcPr>
          <w:p/>
        </w:tc>
        <w:tc>
          <w:tcPr>
            <w:tcW w:type="dxa" w:w="440"/>
            <w:shd w:fill="E4DFD3" w:val="clear"/>
            <w:tcMar>
              <w:top w:type="dxa" w:w="20"/>
              <w:left w:type="dxa" w:w="0"/>
              <w:bottom w:type="dxa" w:w="20"/>
              <w:right w:type="dxa" w:w="0"/>
            </w:tcMar>
          </w:tcPr>
          <w:p/>
        </w:tc>
      </w:tr>
    </w:tbl>
    <w:p>
      <w:pPr>
        <w:spacing w:after="160" w:line="300"/>
      </w:pPr>
      <w:r>
        <w:rPr>
          <w:rFonts w:ascii="Calibri" w:cs="Calibri" w:eastAsia="Calibri" w:hAnsi="Calibri"/>
          <w:i/>
          <w:iCs/>
          <w:color w:val="6E6E6E"/>
          <w:sz w:val="18"/>
          <w:szCs w:val="18"/>
        </w:rPr>
        <w:t xml:space="preserve">Adept at designing initiatives that boost local economies and highlight tourism potential.</w:t>
      </w:r>
    </w:p>
    <w:p>
      <w:pPr>
        <w:spacing w:after="40" w:before="160"/>
      </w:pPr>
      <w:r>
        <w:rPr>
          <w:rFonts w:ascii="Calibri" w:cs="Calibri" w:eastAsia="Calibri" w:hAnsi="Calibri"/>
          <w:b/>
          <w:bCs/>
          <w:color w:val="2B3A55"/>
          <w:sz w:val="20"/>
          <w:szCs w:val="20"/>
        </w:rPr>
        <w:t xml:space="preserve">Networking &amp; Stakeholder Engagement   </w:t>
      </w:r>
      <w:r>
        <w:rPr>
          <w:rFonts w:ascii="Calibri" w:cs="Calibri" w:eastAsia="Calibri" w:hAnsi="Calibri"/>
          <w:b/>
          <w:bCs/>
          <w:color w:val="B08D57"/>
          <w:sz w:val="18"/>
          <w:szCs w:val="18"/>
        </w:rPr>
        <w:t xml:space="preserve">100%</w:t>
      </w:r>
    </w:p>
    <w:tbl>
      <w:tblPr>
        <w:tblW w:type="dxa" w:w="8800"/>
        <w:tblBorders>
          <w:top w:val="none" w:color="FFFFFF" w:sz="0"/>
          <w:left w:val="none" w:color="FFFFFF" w:sz="0"/>
          <w:bottom w:val="none" w:color="FFFFFF" w:sz="0"/>
          <w:right w:val="none" w:color="FFFFFF" w:sz="0"/>
          <w:insideH w:val="none" w:color="FFFFFF" w:sz="0"/>
          <w:insideV w:val="none" w:color="FFFFFF" w:sz="0"/>
        </w:tblBorders>
      </w:tblPr>
      <w:tblGrid>
        <w:gridCol w:w="8800"/>
        <w:gridCol w:w="110"/>
      </w:tblGrid>
      <w:tr>
        <w:tc>
          <w:tcPr>
            <w:tcW w:type="dxa" w:w="8800"/>
            <w:shd w:fill="B08D57" w:val="clear"/>
            <w:tcMar>
              <w:top w:type="dxa" w:w="20"/>
              <w:left w:type="dxa" w:w="0"/>
              <w:bottom w:type="dxa" w:w="20"/>
              <w:right w:type="dxa" w:w="0"/>
            </w:tcMar>
          </w:tcPr>
          <w:p/>
        </w:tc>
        <w:tc>
          <w:tcPr>
            <w:tcW w:type="dxa" w:w="110"/>
            <w:shd w:fill="E4DFD3" w:val="clear"/>
            <w:tcMar>
              <w:top w:type="dxa" w:w="20"/>
              <w:left w:type="dxa" w:w="0"/>
              <w:bottom w:type="dxa" w:w="20"/>
              <w:right w:type="dxa" w:w="0"/>
            </w:tcMar>
          </w:tcPr>
          <w:p/>
        </w:tc>
      </w:tr>
    </w:tbl>
    <w:p>
      <w:pPr>
        <w:spacing w:after="160" w:line="300"/>
      </w:pPr>
      <w:r>
        <w:rPr>
          <w:rFonts w:ascii="Calibri" w:cs="Calibri" w:eastAsia="Calibri" w:hAnsi="Calibri"/>
          <w:i/>
          <w:iCs/>
          <w:color w:val="6E6E6E"/>
          <w:sz w:val="18"/>
          <w:szCs w:val="18"/>
        </w:rPr>
        <w:t xml:space="preserve">Masterful at building and maintaining influential networks for collaborative success.</w:t>
      </w:r>
    </w:p>
    <w:p>
      <w:pPr>
        <w:spacing w:after="40" w:before="160"/>
      </w:pPr>
      <w:r>
        <w:rPr>
          <w:rFonts w:ascii="Calibri" w:cs="Calibri" w:eastAsia="Calibri" w:hAnsi="Calibri"/>
          <w:b/>
          <w:bCs/>
          <w:color w:val="2B3A55"/>
          <w:sz w:val="20"/>
          <w:szCs w:val="20"/>
        </w:rPr>
        <w:t xml:space="preserve">Government Administration &amp; Policy Support   </w:t>
      </w:r>
      <w:r>
        <w:rPr>
          <w:rFonts w:ascii="Calibri" w:cs="Calibri" w:eastAsia="Calibri" w:hAnsi="Calibri"/>
          <w:b/>
          <w:bCs/>
          <w:color w:val="B08D57"/>
          <w:sz w:val="18"/>
          <w:szCs w:val="18"/>
        </w:rPr>
        <w:t xml:space="preserve">95%</w:t>
      </w:r>
    </w:p>
    <w:tbl>
      <w:tblPr>
        <w:tblW w:type="dxa" w:w="8800"/>
        <w:tblBorders>
          <w:top w:val="none" w:color="FFFFFF" w:sz="0"/>
          <w:left w:val="none" w:color="FFFFFF" w:sz="0"/>
          <w:bottom w:val="none" w:color="FFFFFF" w:sz="0"/>
          <w:right w:val="none" w:color="FFFFFF" w:sz="0"/>
          <w:insideH w:val="none" w:color="FFFFFF" w:sz="0"/>
          <w:insideV w:val="none" w:color="FFFFFF" w:sz="0"/>
        </w:tblBorders>
      </w:tblPr>
      <w:tblGrid>
        <w:gridCol w:w="8360"/>
        <w:gridCol w:w="440"/>
      </w:tblGrid>
      <w:tr>
        <w:tc>
          <w:tcPr>
            <w:tcW w:type="dxa" w:w="8360"/>
            <w:shd w:fill="B08D57" w:val="clear"/>
            <w:tcMar>
              <w:top w:type="dxa" w:w="20"/>
              <w:left w:type="dxa" w:w="0"/>
              <w:bottom w:type="dxa" w:w="20"/>
              <w:right w:type="dxa" w:w="0"/>
            </w:tcMar>
          </w:tcPr>
          <w:p/>
        </w:tc>
        <w:tc>
          <w:tcPr>
            <w:tcW w:type="dxa" w:w="440"/>
            <w:shd w:fill="E4DFD3" w:val="clear"/>
            <w:tcMar>
              <w:top w:type="dxa" w:w="20"/>
              <w:left w:type="dxa" w:w="0"/>
              <w:bottom w:type="dxa" w:w="20"/>
              <w:right w:type="dxa" w:w="0"/>
            </w:tcMar>
          </w:tcPr>
          <w:p/>
        </w:tc>
      </w:tr>
    </w:tbl>
    <w:p>
      <w:pPr>
        <w:spacing w:after="160" w:line="300"/>
      </w:pPr>
      <w:r>
        <w:rPr>
          <w:rFonts w:ascii="Calibri" w:cs="Calibri" w:eastAsia="Calibri" w:hAnsi="Calibri"/>
          <w:i/>
          <w:iCs/>
          <w:color w:val="6E6E6E"/>
          <w:sz w:val="18"/>
          <w:szCs w:val="18"/>
        </w:rPr>
        <w:t xml:space="preserve">Extensive experience in navigating policy landscapes to support administrative excellence.</w:t>
      </w:r>
    </w:p>
    <w:p>
      <w:pPr>
        <w:spacing w:after="40" w:before="160"/>
      </w:pPr>
      <w:r>
        <w:rPr>
          <w:rFonts w:ascii="Calibri" w:cs="Calibri" w:eastAsia="Calibri" w:hAnsi="Calibri"/>
          <w:b/>
          <w:bCs/>
          <w:color w:val="2B3A55"/>
          <w:sz w:val="20"/>
          <w:szCs w:val="20"/>
        </w:rPr>
        <w:t xml:space="preserve">Strategic Planning   </w:t>
      </w:r>
      <w:r>
        <w:rPr>
          <w:rFonts w:ascii="Calibri" w:cs="Calibri" w:eastAsia="Calibri" w:hAnsi="Calibri"/>
          <w:b/>
          <w:bCs/>
          <w:color w:val="B08D57"/>
          <w:sz w:val="18"/>
          <w:szCs w:val="18"/>
        </w:rPr>
        <w:t xml:space="preserve">100%</w:t>
      </w:r>
    </w:p>
    <w:tbl>
      <w:tblPr>
        <w:tblW w:type="dxa" w:w="8800"/>
        <w:tblBorders>
          <w:top w:val="none" w:color="FFFFFF" w:sz="0"/>
          <w:left w:val="none" w:color="FFFFFF" w:sz="0"/>
          <w:bottom w:val="none" w:color="FFFFFF" w:sz="0"/>
          <w:right w:val="none" w:color="FFFFFF" w:sz="0"/>
          <w:insideH w:val="none" w:color="FFFFFF" w:sz="0"/>
          <w:insideV w:val="none" w:color="FFFFFF" w:sz="0"/>
        </w:tblBorders>
      </w:tblPr>
      <w:tblGrid>
        <w:gridCol w:w="8800"/>
        <w:gridCol w:w="110"/>
      </w:tblGrid>
      <w:tr>
        <w:tc>
          <w:tcPr>
            <w:tcW w:type="dxa" w:w="8800"/>
            <w:shd w:fill="B08D57" w:val="clear"/>
            <w:tcMar>
              <w:top w:type="dxa" w:w="20"/>
              <w:left w:type="dxa" w:w="0"/>
              <w:bottom w:type="dxa" w:w="20"/>
              <w:right w:type="dxa" w:w="0"/>
            </w:tcMar>
          </w:tcPr>
          <w:p/>
        </w:tc>
        <w:tc>
          <w:tcPr>
            <w:tcW w:type="dxa" w:w="110"/>
            <w:shd w:fill="E4DFD3" w:val="clear"/>
            <w:tcMar>
              <w:top w:type="dxa" w:w="20"/>
              <w:left w:type="dxa" w:w="0"/>
              <w:bottom w:type="dxa" w:w="20"/>
              <w:right w:type="dxa" w:w="0"/>
            </w:tcMar>
          </w:tcPr>
          <w:p/>
        </w:tc>
      </w:tr>
    </w:tbl>
    <w:p>
      <w:pPr>
        <w:spacing w:after="160" w:line="300"/>
      </w:pPr>
      <w:r>
        <w:rPr>
          <w:rFonts w:ascii="Calibri" w:cs="Calibri" w:eastAsia="Calibri" w:hAnsi="Calibri"/>
          <w:i/>
          <w:iCs/>
          <w:color w:val="6E6E6E"/>
          <w:sz w:val="18"/>
          <w:szCs w:val="18"/>
        </w:rPr>
        <w:t xml:space="preserve">Forward-thinking strategist who develops robust plans aligned with long-term goals.</w:t>
      </w:r>
    </w:p>
    <w:p>
      <w:pPr>
        <w:spacing w:after="40" w:before="160"/>
      </w:pPr>
      <w:r>
        <w:rPr>
          <w:rFonts w:ascii="Calibri" w:cs="Calibri" w:eastAsia="Calibri" w:hAnsi="Calibri"/>
          <w:b/>
          <w:bCs/>
          <w:color w:val="2B3A55"/>
          <w:sz w:val="20"/>
          <w:szCs w:val="20"/>
        </w:rPr>
        <w:t xml:space="preserve">Institutional Collaboration   </w:t>
      </w:r>
      <w:r>
        <w:rPr>
          <w:rFonts w:ascii="Calibri" w:cs="Calibri" w:eastAsia="Calibri" w:hAnsi="Calibri"/>
          <w:b/>
          <w:bCs/>
          <w:color w:val="B08D57"/>
          <w:sz w:val="18"/>
          <w:szCs w:val="18"/>
        </w:rPr>
        <w:t xml:space="preserve">100%</w:t>
      </w:r>
    </w:p>
    <w:tbl>
      <w:tblPr>
        <w:tblW w:type="dxa" w:w="8800"/>
        <w:tblBorders>
          <w:top w:val="none" w:color="FFFFFF" w:sz="0"/>
          <w:left w:val="none" w:color="FFFFFF" w:sz="0"/>
          <w:bottom w:val="none" w:color="FFFFFF" w:sz="0"/>
          <w:right w:val="none" w:color="FFFFFF" w:sz="0"/>
          <w:insideH w:val="none" w:color="FFFFFF" w:sz="0"/>
          <w:insideV w:val="none" w:color="FFFFFF" w:sz="0"/>
        </w:tblBorders>
      </w:tblPr>
      <w:tblGrid>
        <w:gridCol w:w="8800"/>
        <w:gridCol w:w="110"/>
      </w:tblGrid>
      <w:tr>
        <w:tc>
          <w:tcPr>
            <w:tcW w:type="dxa" w:w="8800"/>
            <w:shd w:fill="B08D57" w:val="clear"/>
            <w:tcMar>
              <w:top w:type="dxa" w:w="20"/>
              <w:left w:type="dxa" w:w="0"/>
              <w:bottom w:type="dxa" w:w="20"/>
              <w:right w:type="dxa" w:w="0"/>
            </w:tcMar>
          </w:tcPr>
          <w:p/>
        </w:tc>
        <w:tc>
          <w:tcPr>
            <w:tcW w:type="dxa" w:w="110"/>
            <w:shd w:fill="E4DFD3" w:val="clear"/>
            <w:tcMar>
              <w:top w:type="dxa" w:w="20"/>
              <w:left w:type="dxa" w:w="0"/>
              <w:bottom w:type="dxa" w:w="20"/>
              <w:right w:type="dxa" w:w="0"/>
            </w:tcMar>
          </w:tcPr>
          <w:p/>
        </w:tc>
      </w:tr>
    </w:tbl>
    <w:p>
      <w:pPr>
        <w:spacing w:after="160" w:line="300"/>
      </w:pPr>
      <w:r>
        <w:rPr>
          <w:rFonts w:ascii="Calibri" w:cs="Calibri" w:eastAsia="Calibri" w:hAnsi="Calibri"/>
          <w:i/>
          <w:iCs/>
          <w:color w:val="6E6E6E"/>
          <w:sz w:val="18"/>
          <w:szCs w:val="18"/>
        </w:rPr>
        <w:t xml:space="preserve">Excels in fostering synergies between diverse institutions for shared objectives.</w:t>
      </w:r>
    </w:p>
    <w:p>
      <w:pPr>
        <w:spacing w:after="40" w:before="160"/>
      </w:pPr>
      <w:r>
        <w:rPr>
          <w:rFonts w:ascii="Calibri" w:cs="Calibri" w:eastAsia="Calibri" w:hAnsi="Calibri"/>
          <w:b/>
          <w:bCs/>
          <w:color w:val="2B3A55"/>
          <w:sz w:val="20"/>
          <w:szCs w:val="20"/>
        </w:rPr>
        <w:t xml:space="preserve">Education &amp; Capacity Development   </w:t>
      </w:r>
      <w:r>
        <w:rPr>
          <w:rFonts w:ascii="Calibri" w:cs="Calibri" w:eastAsia="Calibri" w:hAnsi="Calibri"/>
          <w:b/>
          <w:bCs/>
          <w:color w:val="B08D57"/>
          <w:sz w:val="18"/>
          <w:szCs w:val="18"/>
        </w:rPr>
        <w:t xml:space="preserve">95%</w:t>
      </w:r>
    </w:p>
    <w:tbl>
      <w:tblPr>
        <w:tblW w:type="dxa" w:w="8800"/>
        <w:tblBorders>
          <w:top w:val="none" w:color="FFFFFF" w:sz="0"/>
          <w:left w:val="none" w:color="FFFFFF" w:sz="0"/>
          <w:bottom w:val="none" w:color="FFFFFF" w:sz="0"/>
          <w:right w:val="none" w:color="FFFFFF" w:sz="0"/>
          <w:insideH w:val="none" w:color="FFFFFF" w:sz="0"/>
          <w:insideV w:val="none" w:color="FFFFFF" w:sz="0"/>
        </w:tblBorders>
      </w:tblPr>
      <w:tblGrid>
        <w:gridCol w:w="8360"/>
        <w:gridCol w:w="440"/>
      </w:tblGrid>
      <w:tr>
        <w:tc>
          <w:tcPr>
            <w:tcW w:type="dxa" w:w="8360"/>
            <w:shd w:fill="B08D57" w:val="clear"/>
            <w:tcMar>
              <w:top w:type="dxa" w:w="20"/>
              <w:left w:type="dxa" w:w="0"/>
              <w:bottom w:type="dxa" w:w="20"/>
              <w:right w:type="dxa" w:w="0"/>
            </w:tcMar>
          </w:tcPr>
          <w:p/>
        </w:tc>
        <w:tc>
          <w:tcPr>
            <w:tcW w:type="dxa" w:w="440"/>
            <w:shd w:fill="E4DFD3" w:val="clear"/>
            <w:tcMar>
              <w:top w:type="dxa" w:w="20"/>
              <w:left w:type="dxa" w:w="0"/>
              <w:bottom w:type="dxa" w:w="20"/>
              <w:right w:type="dxa" w:w="0"/>
            </w:tcMar>
          </w:tcPr>
          <w:p/>
        </w:tc>
      </w:tr>
    </w:tbl>
    <w:p>
      <w:pPr>
        <w:spacing w:after="160" w:line="300"/>
      </w:pPr>
      <w:r>
        <w:rPr>
          <w:rFonts w:ascii="Calibri" w:cs="Calibri" w:eastAsia="Calibri" w:hAnsi="Calibri"/>
          <w:i/>
          <w:iCs/>
          <w:color w:val="6E6E6E"/>
          <w:sz w:val="18"/>
          <w:szCs w:val="18"/>
        </w:rPr>
        <w:t xml:space="preserve">Committed to enhancing skills and knowledge through targeted educational programs.</w:t>
      </w:r>
    </w:p>
    <w:p>
      <w:pPr>
        <w:pStyle w:val="Heading1"/>
        <w:pBdr>
          <w:bottom w:val="single" w:color="B08D57" w:sz="8" w:space="4"/>
        </w:pBdr>
        <w:spacing w:after="160" w:before="360"/>
      </w:pPr>
      <w:r>
        <w:rPr>
          <w:rFonts w:ascii="Georgia" w:cs="Georgia" w:eastAsia="Georgia" w:hAnsi="Georgia"/>
          <w:b/>
          <w:bCs/>
          <w:color w:val="2B3A55"/>
          <w:sz w:val="26"/>
          <w:szCs w:val="26"/>
        </w:rPr>
        <w:t xml:space="preserve">RESUME — PROFESSIONAL EXPERIENCE</w:t>
      </w:r>
    </w:p>
    <w:p>
      <w:pPr>
        <w:spacing w:after="40" w:before="260"/>
      </w:pPr>
      <w:r>
        <w:rPr>
          <w:rFonts w:ascii="Georgia" w:cs="Georgia" w:eastAsia="Georgia" w:hAnsi="Georgia"/>
          <w:b/>
          <w:bCs/>
          <w:color w:val="2B3A55"/>
          <w:sz w:val="22"/>
          <w:szCs w:val="22"/>
        </w:rPr>
        <w:t xml:space="preserve">Deputy Director of Energy and Infrastructure (Current)</w:t>
      </w:r>
    </w:p>
    <w:p>
      <w:pPr>
        <w:spacing w:after="100"/>
      </w:pPr>
      <w:r>
        <w:rPr>
          <w:rFonts w:ascii="Calibri" w:cs="Calibri" w:eastAsia="Calibri" w:hAnsi="Calibri"/>
          <w:i/>
          <w:iCs/>
          <w:color w:val="B08D57"/>
          <w:sz w:val="19"/>
          <w:szCs w:val="19"/>
        </w:rPr>
        <w:t xml:space="preserve">Global Chamber on African Trade, Rights and Economic Development (GCATRED), Africa</w:t>
      </w:r>
    </w:p>
    <w:p>
      <w:pPr>
        <w:pStyle w:val="ListParagraph"/>
        <w:numPr>
          <w:ilvl w:val="0"/>
          <w:numId w:val="2"/>
        </w:numPr>
        <w:spacing w:after="100" w:line="280"/>
      </w:pPr>
      <w:r>
        <w:rPr>
          <w:rFonts w:ascii="Calibri" w:cs="Calibri" w:eastAsia="Calibri" w:hAnsi="Calibri"/>
          <w:color w:val="3D3D3D"/>
          <w:sz w:val="20"/>
          <w:szCs w:val="20"/>
        </w:rPr>
        <w:t xml:space="preserve">Provides strategic guidance on initiatives that propel sustainable trade, investment, and economic cooperation across Africa, ensuring alignment with global best practices.</w:t>
      </w:r>
    </w:p>
    <w:p>
      <w:pPr>
        <w:pStyle w:val="ListParagraph"/>
        <w:numPr>
          <w:ilvl w:val="0"/>
          <w:numId w:val="2"/>
        </w:numPr>
        <w:spacing w:after="100" w:line="280"/>
      </w:pPr>
      <w:r>
        <w:rPr>
          <w:rFonts w:ascii="Calibri" w:cs="Calibri" w:eastAsia="Calibri" w:hAnsi="Calibri"/>
          <w:color w:val="3D3D3D"/>
          <w:sz w:val="20"/>
          <w:szCs w:val="20"/>
        </w:rPr>
        <w:t xml:space="preserve">Contributes to high-impact partnership building and sustainable development strategies, resulting in enhanced opportunities for African economies.</w:t>
      </w:r>
    </w:p>
    <w:p>
      <w:pPr>
        <w:spacing w:after="40" w:before="260"/>
      </w:pPr>
      <w:r>
        <w:rPr>
          <w:rFonts w:ascii="Georgia" w:cs="Georgia" w:eastAsia="Georgia" w:hAnsi="Georgia"/>
          <w:b/>
          <w:bCs/>
          <w:color w:val="2B3A55"/>
          <w:sz w:val="22"/>
          <w:szCs w:val="22"/>
        </w:rPr>
        <w:t xml:space="preserve">Board Chairman (Current)</w:t>
      </w:r>
    </w:p>
    <w:p>
      <w:pPr>
        <w:spacing w:after="100"/>
      </w:pPr>
      <w:r>
        <w:rPr>
          <w:rFonts w:ascii="Calibri" w:cs="Calibri" w:eastAsia="Calibri" w:hAnsi="Calibri"/>
          <w:i/>
          <w:iCs/>
          <w:color w:val="B08D57"/>
          <w:sz w:val="19"/>
          <w:szCs w:val="19"/>
        </w:rPr>
        <w:t xml:space="preserve">National Investors Platform Ethiopia (NIPE), Addis Ababa, Ethiopia</w:t>
      </w:r>
    </w:p>
    <w:p>
      <w:pPr>
        <w:pStyle w:val="ListParagraph"/>
        <w:numPr>
          <w:ilvl w:val="0"/>
          <w:numId w:val="2"/>
        </w:numPr>
        <w:spacing w:after="100" w:line="280"/>
      </w:pPr>
      <w:r>
        <w:rPr>
          <w:rFonts w:ascii="Calibri" w:cs="Calibri" w:eastAsia="Calibri" w:hAnsi="Calibri"/>
          <w:color w:val="3D3D3D"/>
          <w:sz w:val="20"/>
          <w:szCs w:val="20"/>
        </w:rPr>
        <w:t xml:space="preserve">Steers the organization toward excellence in promoting investment opportunities and bolstering national investors, with a focus on innovative economic development.</w:t>
      </w:r>
    </w:p>
    <w:p>
      <w:pPr>
        <w:pStyle w:val="ListParagraph"/>
        <w:numPr>
          <w:ilvl w:val="0"/>
          <w:numId w:val="2"/>
        </w:numPr>
        <w:spacing w:after="100" w:line="280"/>
      </w:pPr>
      <w:r>
        <w:rPr>
          <w:rFonts w:ascii="Calibri" w:cs="Calibri" w:eastAsia="Calibri" w:hAnsi="Calibri"/>
          <w:color w:val="3D3D3D"/>
          <w:sz w:val="20"/>
          <w:szCs w:val="20"/>
        </w:rPr>
        <w:t xml:space="preserve">Drives collaborative initiatives that have significantly advanced Ethiopia's growth trajectory, demonstrating measurable progress in business promotion.</w:t>
      </w:r>
    </w:p>
    <w:p>
      <w:pPr>
        <w:spacing w:after="40" w:before="260"/>
      </w:pPr>
      <w:r>
        <w:rPr>
          <w:rFonts w:ascii="Georgia" w:cs="Georgia" w:eastAsia="Georgia" w:hAnsi="Georgia"/>
          <w:b/>
          <w:bCs/>
          <w:color w:val="2B3A55"/>
          <w:sz w:val="22"/>
          <w:szCs w:val="22"/>
        </w:rPr>
        <w:t xml:space="preserve">Deputy CEO &amp; Public Relations Lead (Current)</w:t>
      </w:r>
    </w:p>
    <w:p>
      <w:pPr>
        <w:spacing w:after="100"/>
      </w:pPr>
      <w:r>
        <w:rPr>
          <w:rFonts w:ascii="Calibri" w:cs="Calibri" w:eastAsia="Calibri" w:hAnsi="Calibri"/>
          <w:i/>
          <w:iCs/>
          <w:color w:val="B08D57"/>
          <w:sz w:val="19"/>
          <w:szCs w:val="19"/>
        </w:rPr>
        <w:t xml:space="preserve">Smart4Ethiopia Trading PLC, Addis Ababa, Ethiopia</w:t>
      </w:r>
    </w:p>
    <w:p>
      <w:pPr>
        <w:pStyle w:val="ListParagraph"/>
        <w:numPr>
          <w:ilvl w:val="0"/>
          <w:numId w:val="2"/>
        </w:numPr>
        <w:spacing w:after="100" w:line="280"/>
      </w:pPr>
      <w:r>
        <w:rPr>
          <w:rFonts w:ascii="Calibri" w:cs="Calibri" w:eastAsia="Calibri" w:hAnsi="Calibri"/>
          <w:color w:val="3D3D3D"/>
          <w:sz w:val="20"/>
          <w:szCs w:val="20"/>
        </w:rPr>
        <w:t xml:space="preserve">Oversees critical daily operations and executes strategic planning to ensure organizational resilience and growth.</w:t>
      </w:r>
    </w:p>
    <w:p>
      <w:pPr>
        <w:pStyle w:val="ListParagraph"/>
        <w:numPr>
          <w:ilvl w:val="0"/>
          <w:numId w:val="2"/>
        </w:numPr>
        <w:spacing w:after="100" w:line="280"/>
      </w:pPr>
      <w:r>
        <w:rPr>
          <w:rFonts w:ascii="Calibri" w:cs="Calibri" w:eastAsia="Calibri" w:hAnsi="Calibri"/>
          <w:color w:val="3D3D3D"/>
          <w:sz w:val="20"/>
          <w:szCs w:val="20"/>
        </w:rPr>
        <w:t xml:space="preserve">Strengthens public relations efforts to forge deeper client and partner connections, directly contributing to expansive business development and revenue enhancement.</w:t>
      </w:r>
    </w:p>
    <w:p>
      <w:pPr>
        <w:spacing w:after="40" w:before="260"/>
      </w:pPr>
      <w:r>
        <w:rPr>
          <w:rFonts w:ascii="Georgia" w:cs="Georgia" w:eastAsia="Georgia" w:hAnsi="Georgia"/>
          <w:b/>
          <w:bCs/>
          <w:color w:val="2B3A55"/>
          <w:sz w:val="22"/>
          <w:szCs w:val="22"/>
        </w:rPr>
        <w:t xml:space="preserve">Vice/Secretary-General (Previous)</w:t>
      </w:r>
    </w:p>
    <w:p>
      <w:pPr>
        <w:spacing w:after="100"/>
      </w:pPr>
      <w:r>
        <w:rPr>
          <w:rFonts w:ascii="Calibri" w:cs="Calibri" w:eastAsia="Calibri" w:hAnsi="Calibri"/>
          <w:i/>
          <w:iCs/>
          <w:color w:val="B08D57"/>
          <w:sz w:val="19"/>
          <w:szCs w:val="19"/>
        </w:rPr>
        <w:t xml:space="preserve">Amhara Regional Chamber of Commerce, Ethiopia</w:t>
      </w:r>
    </w:p>
    <w:p>
      <w:pPr>
        <w:pStyle w:val="ListParagraph"/>
        <w:numPr>
          <w:ilvl w:val="0"/>
          <w:numId w:val="2"/>
        </w:numPr>
        <w:spacing w:after="100" w:line="280"/>
      </w:pPr>
      <w:r>
        <w:rPr>
          <w:rFonts w:ascii="Calibri" w:cs="Calibri" w:eastAsia="Calibri" w:hAnsi="Calibri"/>
          <w:color w:val="3D3D3D"/>
          <w:sz w:val="20"/>
          <w:szCs w:val="20"/>
        </w:rPr>
        <w:t xml:space="preserve">Led transformative efforts in advancing commerce, sectoral associations, and economic policies, fostering an environment conducive to business innovation.</w:t>
      </w:r>
    </w:p>
    <w:p>
      <w:pPr>
        <w:pStyle w:val="ListParagraph"/>
        <w:numPr>
          <w:ilvl w:val="0"/>
          <w:numId w:val="2"/>
        </w:numPr>
        <w:spacing w:after="100" w:line="280"/>
      </w:pPr>
      <w:r>
        <w:rPr>
          <w:rFonts w:ascii="Calibri" w:cs="Calibri" w:eastAsia="Calibri" w:hAnsi="Calibri"/>
          <w:color w:val="3D3D3D"/>
          <w:sz w:val="20"/>
          <w:szCs w:val="20"/>
        </w:rPr>
        <w:t xml:space="preserve">Played a key role in sustainable development projects and international collaborations, yielding long-term benefits for Ethiopia's commercial landscape.</w:t>
      </w:r>
    </w:p>
    <w:p>
      <w:pPr>
        <w:spacing w:after="40" w:before="260"/>
      </w:pPr>
      <w:r>
        <w:rPr>
          <w:rFonts w:ascii="Georgia" w:cs="Georgia" w:eastAsia="Georgia" w:hAnsi="Georgia"/>
          <w:b/>
          <w:bCs/>
          <w:color w:val="2B3A55"/>
          <w:sz w:val="22"/>
          <w:szCs w:val="22"/>
        </w:rPr>
        <w:t xml:space="preserve">Secretary-General (Previous)</w:t>
      </w:r>
    </w:p>
    <w:p>
      <w:pPr>
        <w:spacing w:after="100"/>
      </w:pPr>
      <w:r>
        <w:rPr>
          <w:rFonts w:ascii="Calibri" w:cs="Calibri" w:eastAsia="Calibri" w:hAnsi="Calibri"/>
          <w:i/>
          <w:iCs/>
          <w:color w:val="B08D57"/>
          <w:sz w:val="19"/>
          <w:szCs w:val="19"/>
        </w:rPr>
        <w:t xml:space="preserve">Chamber of Commerce &amp; Sectoral Association – Kombolcha Town, South Wollo, Kombolcha, Ethiopia</w:t>
      </w:r>
    </w:p>
    <w:p>
      <w:pPr>
        <w:pStyle w:val="ListParagraph"/>
        <w:numPr>
          <w:ilvl w:val="0"/>
          <w:numId w:val="2"/>
        </w:numPr>
        <w:spacing w:after="100" w:line="280"/>
      </w:pPr>
      <w:r>
        <w:rPr>
          <w:rFonts w:ascii="Calibri" w:cs="Calibri" w:eastAsia="Calibri" w:hAnsi="Calibri"/>
          <w:color w:val="3D3D3D"/>
          <w:sz w:val="20"/>
          <w:szCs w:val="20"/>
        </w:rPr>
        <w:t xml:space="preserve">Delivered exceptional leadership in local commerce and sectoral associations, implementing strategies that boosted regional economic vitality.</w:t>
      </w:r>
    </w:p>
    <w:p>
      <w:pPr>
        <w:spacing w:after="40" w:before="260"/>
      </w:pPr>
      <w:r>
        <w:rPr>
          <w:rFonts w:ascii="Georgia" w:cs="Georgia" w:eastAsia="Georgia" w:hAnsi="Georgia"/>
          <w:b/>
          <w:bCs/>
          <w:color w:val="2B3A55"/>
          <w:sz w:val="22"/>
          <w:szCs w:val="22"/>
        </w:rPr>
        <w:t xml:space="preserve">Secretary-General (Previous)</w:t>
      </w:r>
    </w:p>
    <w:p>
      <w:pPr>
        <w:spacing w:after="100"/>
      </w:pPr>
      <w:r>
        <w:rPr>
          <w:rFonts w:ascii="Calibri" w:cs="Calibri" w:eastAsia="Calibri" w:hAnsi="Calibri"/>
          <w:i/>
          <w:iCs/>
          <w:color w:val="B08D57"/>
          <w:sz w:val="19"/>
          <w:szCs w:val="19"/>
        </w:rPr>
        <w:t xml:space="preserve">Dessie Chamber of Commerce &amp; Sectoral Associations, Dessie, Ethiopia</w:t>
      </w:r>
    </w:p>
    <w:p>
      <w:pPr>
        <w:pStyle w:val="ListParagraph"/>
        <w:numPr>
          <w:ilvl w:val="0"/>
          <w:numId w:val="2"/>
        </w:numPr>
        <w:spacing w:after="100" w:line="280"/>
      </w:pPr>
      <w:r>
        <w:rPr>
          <w:rFonts w:ascii="Calibri" w:cs="Calibri" w:eastAsia="Calibri" w:hAnsi="Calibri"/>
          <w:color w:val="3D3D3D"/>
          <w:sz w:val="20"/>
          <w:szCs w:val="20"/>
        </w:rPr>
        <w:t xml:space="preserve">Advanced regional commerce and associations through targeted initiatives, enhancing operational frameworks and stakeholder involvement.</w:t>
      </w:r>
    </w:p>
    <w:p>
      <w:pPr>
        <w:spacing w:after="40" w:before="260"/>
      </w:pPr>
      <w:r>
        <w:rPr>
          <w:rFonts w:ascii="Georgia" w:cs="Georgia" w:eastAsia="Georgia" w:hAnsi="Georgia"/>
          <w:b/>
          <w:bCs/>
          <w:color w:val="2B3A55"/>
          <w:sz w:val="22"/>
          <w:szCs w:val="22"/>
        </w:rPr>
        <w:t xml:space="preserve">Various Government Positions (Over 20 Years)</w:t>
      </w:r>
    </w:p>
    <w:p>
      <w:pPr>
        <w:spacing w:after="100"/>
      </w:pPr>
      <w:r>
        <w:rPr>
          <w:rFonts w:ascii="Calibri" w:cs="Calibri" w:eastAsia="Calibri" w:hAnsi="Calibri"/>
          <w:i/>
          <w:iCs/>
          <w:color w:val="B08D57"/>
          <w:sz w:val="19"/>
          <w:szCs w:val="19"/>
        </w:rPr>
        <w:t xml:space="preserve">Ethiopian Government Institutions, Ethiopia</w:t>
      </w:r>
    </w:p>
    <w:p>
      <w:pPr>
        <w:pStyle w:val="ListParagraph"/>
        <w:numPr>
          <w:ilvl w:val="0"/>
          <w:numId w:val="2"/>
        </w:numPr>
        <w:spacing w:after="100" w:line="280"/>
      </w:pPr>
      <w:r>
        <w:rPr>
          <w:rFonts w:ascii="Calibri" w:cs="Calibri" w:eastAsia="Calibri" w:hAnsi="Calibri"/>
          <w:color w:val="3D3D3D"/>
          <w:sz w:val="20"/>
          <w:szCs w:val="20"/>
        </w:rPr>
        <w:t xml:space="preserve">Occupied multiple high-level roles emphasizing public administration, commerce, and regional development, consistently delivering policies that promoted national progress.</w:t>
      </w:r>
    </w:p>
    <w:p>
      <w:pPr>
        <w:pStyle w:val="Heading1"/>
        <w:pBdr>
          <w:bottom w:val="single" w:color="B08D57" w:sz="8" w:space="4"/>
        </w:pBdr>
        <w:spacing w:after="160" w:before="360"/>
      </w:pPr>
      <w:r>
        <w:rPr>
          <w:rFonts w:ascii="Georgia" w:cs="Georgia" w:eastAsia="Georgia" w:hAnsi="Georgia"/>
          <w:b/>
          <w:bCs/>
          <w:color w:val="2B3A55"/>
          <w:sz w:val="26"/>
          <w:szCs w:val="26"/>
        </w:rPr>
        <w:t xml:space="preserve">SPECIALTIES</w:t>
      </w:r>
    </w:p>
    <w:p>
      <w:pPr>
        <w:pStyle w:val="ListParagraph"/>
        <w:numPr>
          <w:ilvl w:val="0"/>
          <w:numId w:val="2"/>
        </w:numPr>
        <w:spacing w:after="100" w:line="280"/>
      </w:pPr>
      <w:r>
        <w:rPr>
          <w:rFonts w:ascii="Calibri" w:cs="Calibri" w:eastAsia="Calibri" w:hAnsi="Calibri"/>
          <w:color w:val="3D3D3D"/>
          <w:sz w:val="20"/>
          <w:szCs w:val="20"/>
        </w:rPr>
        <w:t xml:space="preserve">Offers comprehensive expertise in business promotion, investment strategies, public relations, education, public administration, and holistic business development — positioning him as a go-to authority for transformative projects.</w:t>
      </w:r>
    </w:p>
    <w:p>
      <w:pPr>
        <w:pStyle w:val="ListParagraph"/>
        <w:numPr>
          <w:ilvl w:val="0"/>
          <w:numId w:val="2"/>
        </w:numPr>
        <w:spacing w:after="100" w:line="280"/>
      </w:pPr>
      <w:r>
        <w:rPr>
          <w:rFonts w:ascii="Calibri" w:cs="Calibri" w:eastAsia="Calibri" w:hAnsi="Calibri"/>
          <w:color w:val="3D3D3D"/>
          <w:sz w:val="20"/>
          <w:szCs w:val="20"/>
        </w:rPr>
        <w:t xml:space="preserve">Specializes in economic development, tourism promotion, technology solutions, sustainable trade, investment, and economic cooperation across Ethiopia and Africa, with a track record of delivering results that exceed expectations.</w:t>
      </w:r>
    </w:p>
    <w:p>
      <w:pPr>
        <w:pStyle w:val="ListParagraph"/>
        <w:numPr>
          <w:ilvl w:val="0"/>
          <w:numId w:val="2"/>
        </w:numPr>
        <w:spacing w:after="100" w:line="280"/>
      </w:pPr>
      <w:r>
        <w:rPr>
          <w:rFonts w:ascii="Calibri" w:cs="Calibri" w:eastAsia="Calibri" w:hAnsi="Calibri"/>
          <w:color w:val="3D3D3D"/>
          <w:sz w:val="20"/>
          <w:szCs w:val="20"/>
        </w:rPr>
        <w:t xml:space="preserve">Excels in leadership within investor platforms, chambers of commerce, and global forums, where his insights facilitate breakthrough partnerships and innovative solutions.</w:t>
      </w:r>
    </w:p>
    <w:sectPr>
      <w:pgSz w:w="12240" w:h="15840" w:orient="portrait"/>
      <w:pgMar w:top="720" w:right="900" w:bottom="72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b0646588a8ab0788897a5d89029da760ca6dec3.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2026-07-15T16:40:52.162Z</dcterms:created>
  <dcterms:modified xsi:type="dcterms:W3CDTF">2026-07-15T16:40:52.174Z</dcterms:modified>
</cp:coreProperties>
</file>

<file path=docProps/custom.xml><?xml version="1.0" encoding="utf-8"?>
<Properties xmlns="http://schemas.openxmlformats.org/officeDocument/2006/custom-properties" xmlns:vt="http://schemas.openxmlformats.org/officeDocument/2006/docPropsVTypes"/>
</file>